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3F3" w:rsidRDefault="00986475" w:rsidP="00A013F3">
      <w:pPr>
        <w:jc w:val="center"/>
        <w:rPr>
          <w:rFonts w:ascii="Times New Roman" w:hAnsi="Times New Roman" w:cs="Times New Roman"/>
          <w:b/>
          <w:sz w:val="24"/>
        </w:rPr>
      </w:pPr>
      <w:r w:rsidRPr="005A047C">
        <w:rPr>
          <w:rFonts w:ascii="Times New Roman" w:hAnsi="Times New Roman" w:cs="Times New Roman"/>
          <w:b/>
          <w:sz w:val="24"/>
        </w:rPr>
        <w:t>Érintett</w:t>
      </w:r>
      <w:r w:rsidR="00A013F3" w:rsidRPr="005A047C">
        <w:rPr>
          <w:rFonts w:ascii="Times New Roman" w:hAnsi="Times New Roman" w:cs="Times New Roman"/>
          <w:b/>
          <w:sz w:val="24"/>
        </w:rPr>
        <w:t xml:space="preserve"> tájékoztató</w:t>
      </w:r>
    </w:p>
    <w:p w:rsidR="006A316A" w:rsidRDefault="006A316A" w:rsidP="006A316A">
      <w:pPr>
        <w:spacing w:after="0" w:line="240" w:lineRule="auto"/>
        <w:rPr>
          <w:rFonts w:ascii="Times New Roman" w:hAnsi="Times New Roman"/>
          <w:b/>
          <w:sz w:val="24"/>
          <w:szCs w:val="24"/>
        </w:rPr>
      </w:pPr>
      <w:r>
        <w:rPr>
          <w:rFonts w:ascii="Times New Roman" w:hAnsi="Times New Roman"/>
          <w:b/>
          <w:sz w:val="24"/>
          <w:szCs w:val="24"/>
        </w:rPr>
        <w:t>30509-13/35/2023.Anyt.</w:t>
      </w:r>
    </w:p>
    <w:p w:rsidR="006A316A" w:rsidRPr="005A047C" w:rsidRDefault="006A316A" w:rsidP="00A013F3">
      <w:pPr>
        <w:jc w:val="center"/>
        <w:rPr>
          <w:rFonts w:ascii="Times New Roman" w:hAnsi="Times New Roman" w:cs="Times New Roman"/>
          <w:b/>
          <w:sz w:val="24"/>
        </w:rPr>
      </w:pPr>
      <w:bookmarkStart w:id="0" w:name="_GoBack"/>
      <w:bookmarkEnd w:id="0"/>
    </w:p>
    <w:tbl>
      <w:tblPr>
        <w:tblStyle w:val="Rcsostblzat"/>
        <w:tblW w:w="0" w:type="auto"/>
        <w:tblLook w:val="04A0" w:firstRow="1" w:lastRow="0" w:firstColumn="1" w:lastColumn="0" w:noHBand="0" w:noVBand="1"/>
      </w:tblPr>
      <w:tblGrid>
        <w:gridCol w:w="4606"/>
        <w:gridCol w:w="4606"/>
      </w:tblGrid>
      <w:tr w:rsidR="00A013F3" w:rsidRPr="005A047C" w:rsidTr="00DF4CB6">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Nyilvántartási szám:</w:t>
            </w:r>
          </w:p>
        </w:tc>
        <w:tc>
          <w:tcPr>
            <w:tcW w:w="4606" w:type="dxa"/>
          </w:tcPr>
          <w:p w:rsidR="00A013F3" w:rsidRPr="005A047C" w:rsidRDefault="00A013F3" w:rsidP="00DF4CB6">
            <w:pPr>
              <w:rPr>
                <w:rFonts w:ascii="Times New Roman" w:hAnsi="Times New Roman" w:cs="Times New Roman"/>
                <w:sz w:val="20"/>
              </w:rPr>
            </w:pPr>
            <w:r>
              <w:rPr>
                <w:rFonts w:ascii="Times New Roman" w:hAnsi="Times New Roman" w:cs="Times New Roman"/>
                <w:sz w:val="20"/>
              </w:rPr>
              <w:t>30509-13/82/2021.anyvt.</w:t>
            </w:r>
          </w:p>
        </w:tc>
      </w:tr>
      <w:tr w:rsidR="00A013F3" w:rsidRPr="005A047C" w:rsidTr="00DF4CB6">
        <w:trPr>
          <w:trHeight w:val="454"/>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Az adatkezelés megnevezése</w:t>
            </w:r>
          </w:p>
        </w:tc>
        <w:tc>
          <w:tcPr>
            <w:tcW w:w="4606" w:type="dxa"/>
          </w:tcPr>
          <w:p w:rsidR="00A013F3" w:rsidRPr="005A047C" w:rsidRDefault="00A013F3" w:rsidP="00DF4CB6">
            <w:pPr>
              <w:jc w:val="both"/>
              <w:rPr>
                <w:rFonts w:ascii="Times New Roman" w:hAnsi="Times New Roman" w:cs="Times New Roman"/>
                <w:sz w:val="20"/>
                <w:szCs w:val="20"/>
              </w:rPr>
            </w:pPr>
            <w:r w:rsidRPr="005A047C">
              <w:rPr>
                <w:rFonts w:ascii="Times New Roman" w:hAnsi="Times New Roman" w:cs="Times New Roman"/>
                <w:sz w:val="20"/>
                <w:szCs w:val="20"/>
              </w:rPr>
              <w:t>Koronavírus elleni kötelező védőoltás igénybevételének igazolása</w:t>
            </w:r>
          </w:p>
        </w:tc>
      </w:tr>
      <w:tr w:rsidR="00A013F3" w:rsidRPr="005A047C" w:rsidTr="00DF4CB6">
        <w:trPr>
          <w:trHeight w:val="454"/>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Az adatkezelés célja</w:t>
            </w:r>
          </w:p>
        </w:tc>
        <w:tc>
          <w:tcPr>
            <w:tcW w:w="4606" w:type="dxa"/>
          </w:tcPr>
          <w:p w:rsidR="00A013F3" w:rsidRPr="005A047C" w:rsidRDefault="00A013F3" w:rsidP="00DF4CB6">
            <w:pPr>
              <w:jc w:val="both"/>
              <w:rPr>
                <w:rFonts w:ascii="Times New Roman" w:hAnsi="Times New Roman" w:cs="Times New Roman"/>
                <w:sz w:val="20"/>
                <w:szCs w:val="20"/>
              </w:rPr>
            </w:pPr>
            <w:r w:rsidRPr="005A047C">
              <w:rPr>
                <w:rFonts w:ascii="Times New Roman" w:hAnsi="Times New Roman" w:cs="Times New Roman"/>
                <w:sz w:val="20"/>
                <w:szCs w:val="20"/>
              </w:rPr>
              <w:t>A koronavírus elleni kötelező védőoltás felvételének vagy a mentesülés feltételeinek megállapítása, az adatok ellenőrzés céljából történő rendelkezésre állásának biztosítása</w:t>
            </w:r>
          </w:p>
        </w:tc>
      </w:tr>
      <w:tr w:rsidR="00A013F3" w:rsidRPr="005A047C" w:rsidTr="00DF4CB6">
        <w:trPr>
          <w:trHeight w:val="454"/>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Az adatkezelés jogalapja</w:t>
            </w:r>
          </w:p>
        </w:tc>
        <w:tc>
          <w:tcPr>
            <w:tcW w:w="4606" w:type="dxa"/>
          </w:tcPr>
          <w:p w:rsidR="00A013F3" w:rsidRPr="005A047C" w:rsidRDefault="00A013F3" w:rsidP="00DF4CB6">
            <w:pPr>
              <w:jc w:val="both"/>
              <w:rPr>
                <w:rFonts w:ascii="Times New Roman" w:hAnsi="Times New Roman" w:cs="Times New Roman"/>
                <w:sz w:val="20"/>
                <w:szCs w:val="20"/>
              </w:rPr>
            </w:pPr>
            <w:r w:rsidRPr="005A047C">
              <w:rPr>
                <w:rFonts w:ascii="Times New Roman" w:hAnsi="Times New Roman" w:cs="Times New Roman"/>
                <w:sz w:val="20"/>
                <w:szCs w:val="20"/>
              </w:rPr>
              <w:t>GDPR 6. cikk (1) bekezdés c) pont, e) pont, 9. cikk (2) bekezdés i) pont; a koronavírus elleni védőoltásnak az állami és önkormányzati intézményeknél foglalkoztatottak által történő kötelező igénybevételéről szóló 599/2021. (X. 28.) Korm. rendelet 3. § (1) bekezdés</w:t>
            </w:r>
          </w:p>
        </w:tc>
      </w:tr>
      <w:tr w:rsidR="00A013F3" w:rsidRPr="005A047C" w:rsidTr="00DF4CB6">
        <w:trPr>
          <w:trHeight w:val="454"/>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Az adatok fajtája</w:t>
            </w:r>
          </w:p>
        </w:tc>
        <w:tc>
          <w:tcPr>
            <w:tcW w:w="4606" w:type="dxa"/>
          </w:tcPr>
          <w:p w:rsidR="00A013F3" w:rsidRPr="005A047C" w:rsidRDefault="00A013F3" w:rsidP="00DF4CB6">
            <w:pPr>
              <w:tabs>
                <w:tab w:val="left" w:pos="1331"/>
              </w:tabs>
              <w:jc w:val="both"/>
              <w:rPr>
                <w:rFonts w:ascii="Times New Roman" w:hAnsi="Times New Roman" w:cs="Times New Roman"/>
                <w:sz w:val="20"/>
                <w:szCs w:val="20"/>
              </w:rPr>
            </w:pPr>
            <w:r w:rsidRPr="005A047C">
              <w:rPr>
                <w:rFonts w:ascii="Times New Roman" w:hAnsi="Times New Roman" w:cs="Times New Roman"/>
                <w:sz w:val="20"/>
                <w:szCs w:val="20"/>
              </w:rPr>
              <w:t>A személyazonosság igazolására alkalmas hatósági igazolvány adatai, az 599/2021. Korm. rendelet 2. § (5) bekezdése szerinti dokumentum adatai, a védőoltás felvételének ellenjavalltságára vonatkozó orvosi szakvélemény adatai</w:t>
            </w:r>
          </w:p>
        </w:tc>
      </w:tr>
      <w:tr w:rsidR="00A013F3" w:rsidRPr="005A047C" w:rsidTr="00DF4CB6">
        <w:trPr>
          <w:trHeight w:val="454"/>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Az érintettek köre</w:t>
            </w:r>
          </w:p>
        </w:tc>
        <w:tc>
          <w:tcPr>
            <w:tcW w:w="4606" w:type="dxa"/>
          </w:tcPr>
          <w:p w:rsidR="00A013F3" w:rsidRPr="005A047C" w:rsidRDefault="00A013F3" w:rsidP="00DF4CB6">
            <w:pPr>
              <w:jc w:val="both"/>
              <w:rPr>
                <w:rFonts w:ascii="Times New Roman" w:hAnsi="Times New Roman" w:cs="Times New Roman"/>
                <w:sz w:val="20"/>
                <w:szCs w:val="20"/>
              </w:rPr>
            </w:pPr>
            <w:r w:rsidRPr="005A047C">
              <w:rPr>
                <w:rFonts w:ascii="Times New Roman" w:hAnsi="Times New Roman" w:cs="Times New Roman"/>
                <w:sz w:val="20"/>
                <w:szCs w:val="20"/>
              </w:rPr>
              <w:t>A teljes személyi állomány</w:t>
            </w:r>
          </w:p>
        </w:tc>
      </w:tr>
      <w:tr w:rsidR="00A013F3" w:rsidRPr="005A047C" w:rsidTr="00DF4CB6">
        <w:trPr>
          <w:trHeight w:val="454"/>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Az adatok forrása</w:t>
            </w:r>
          </w:p>
        </w:tc>
        <w:tc>
          <w:tcPr>
            <w:tcW w:w="4606" w:type="dxa"/>
          </w:tcPr>
          <w:p w:rsidR="00A013F3" w:rsidRPr="005A047C" w:rsidRDefault="00A013F3" w:rsidP="00DF4CB6">
            <w:pPr>
              <w:jc w:val="both"/>
              <w:rPr>
                <w:rFonts w:ascii="Times New Roman" w:hAnsi="Times New Roman" w:cs="Times New Roman"/>
                <w:sz w:val="20"/>
                <w:szCs w:val="20"/>
              </w:rPr>
            </w:pPr>
            <w:r w:rsidRPr="005A047C">
              <w:rPr>
                <w:rFonts w:ascii="Times New Roman" w:hAnsi="Times New Roman" w:cs="Times New Roman"/>
                <w:sz w:val="20"/>
                <w:szCs w:val="20"/>
              </w:rPr>
              <w:t>Az érintett által bemutatott dokumentumok</w:t>
            </w:r>
          </w:p>
        </w:tc>
      </w:tr>
      <w:tr w:rsidR="00A013F3" w:rsidRPr="005A047C" w:rsidTr="00DF4CB6">
        <w:trPr>
          <w:trHeight w:val="454"/>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 továbbított adatok fajtája</w:t>
            </w:r>
          </w:p>
        </w:tc>
        <w:tc>
          <w:tcPr>
            <w:tcW w:w="4606" w:type="dxa"/>
          </w:tcPr>
          <w:p w:rsidR="00A013F3" w:rsidRPr="005A047C" w:rsidRDefault="00A013F3" w:rsidP="00DF4CB6">
            <w:pPr>
              <w:tabs>
                <w:tab w:val="left" w:pos="1331"/>
              </w:tabs>
              <w:jc w:val="both"/>
              <w:rPr>
                <w:rFonts w:ascii="Times New Roman" w:hAnsi="Times New Roman" w:cs="Times New Roman"/>
                <w:sz w:val="20"/>
                <w:szCs w:val="20"/>
              </w:rPr>
            </w:pPr>
            <w:r w:rsidRPr="005A047C">
              <w:rPr>
                <w:rFonts w:ascii="Times New Roman" w:hAnsi="Times New Roman" w:cs="Times New Roman"/>
                <w:sz w:val="20"/>
                <w:szCs w:val="20"/>
              </w:rPr>
              <w:t>A személyazonosság igazolására alkalmas hatósági igazolvány adatai, az 599/2021. Korm. rendelet 2. § (5) bekezdése szerinti dokumentum adatai, a védőoltás felvételének ellenjavalltságára vonatkozó orvosi szakvélemény adatai</w:t>
            </w:r>
          </w:p>
        </w:tc>
      </w:tr>
      <w:tr w:rsidR="00A013F3" w:rsidRPr="005A047C" w:rsidTr="00DF4CB6">
        <w:trPr>
          <w:trHeight w:val="454"/>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 továbbított adatok címzettje</w:t>
            </w:r>
          </w:p>
        </w:tc>
        <w:tc>
          <w:tcPr>
            <w:tcW w:w="4606" w:type="dxa"/>
          </w:tcPr>
          <w:p w:rsidR="00A013F3" w:rsidRPr="005A047C" w:rsidRDefault="00A013F3" w:rsidP="00DF4CB6">
            <w:pPr>
              <w:tabs>
                <w:tab w:val="left" w:pos="1100"/>
              </w:tabs>
              <w:jc w:val="both"/>
              <w:rPr>
                <w:rFonts w:ascii="Times New Roman" w:hAnsi="Times New Roman" w:cs="Times New Roman"/>
                <w:sz w:val="20"/>
                <w:szCs w:val="20"/>
              </w:rPr>
            </w:pPr>
            <w:r w:rsidRPr="005A047C">
              <w:rPr>
                <w:rFonts w:ascii="Times New Roman" w:hAnsi="Times New Roman" w:cs="Times New Roman"/>
                <w:sz w:val="20"/>
                <w:szCs w:val="20"/>
              </w:rPr>
              <w:t>Az 599/2021. Korm. rendelet 2. § (13) bekezdése alapján kijelölt szerv</w:t>
            </w:r>
          </w:p>
        </w:tc>
      </w:tr>
      <w:tr w:rsidR="00A013F3" w:rsidRPr="005A047C" w:rsidTr="00DF4CB6">
        <w:trPr>
          <w:trHeight w:val="454"/>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Az adattovábbítás jogalapja</w:t>
            </w:r>
          </w:p>
        </w:tc>
        <w:tc>
          <w:tcPr>
            <w:tcW w:w="4606" w:type="dxa"/>
          </w:tcPr>
          <w:p w:rsidR="00A013F3" w:rsidRPr="005A047C" w:rsidRDefault="00A013F3" w:rsidP="00DF4CB6">
            <w:pPr>
              <w:jc w:val="both"/>
              <w:rPr>
                <w:rFonts w:ascii="Times New Roman" w:hAnsi="Times New Roman" w:cs="Times New Roman"/>
                <w:sz w:val="20"/>
                <w:szCs w:val="20"/>
              </w:rPr>
            </w:pPr>
            <w:r w:rsidRPr="005A047C">
              <w:rPr>
                <w:rFonts w:ascii="Times New Roman" w:hAnsi="Times New Roman" w:cs="Times New Roman"/>
                <w:sz w:val="20"/>
                <w:szCs w:val="20"/>
              </w:rPr>
              <w:t>Az 599/2021. Korm. rendelet 3. § (2) bekezdés</w:t>
            </w:r>
          </w:p>
        </w:tc>
      </w:tr>
      <w:tr w:rsidR="00A013F3" w:rsidRPr="005A047C" w:rsidTr="00DF4CB6">
        <w:trPr>
          <w:trHeight w:val="454"/>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Az egyes adatfajták törlési határideje</w:t>
            </w:r>
          </w:p>
        </w:tc>
        <w:tc>
          <w:tcPr>
            <w:tcW w:w="4606" w:type="dxa"/>
          </w:tcPr>
          <w:p w:rsidR="00A013F3" w:rsidRPr="005A047C" w:rsidRDefault="00A013F3" w:rsidP="00DF4CB6">
            <w:pPr>
              <w:jc w:val="both"/>
              <w:rPr>
                <w:rFonts w:ascii="Times New Roman" w:hAnsi="Times New Roman" w:cs="Times New Roman"/>
                <w:sz w:val="20"/>
                <w:szCs w:val="20"/>
              </w:rPr>
            </w:pPr>
            <w:r w:rsidRPr="005A047C">
              <w:rPr>
                <w:rFonts w:ascii="Times New Roman" w:hAnsi="Times New Roman" w:cs="Times New Roman"/>
                <w:sz w:val="20"/>
                <w:szCs w:val="20"/>
              </w:rPr>
              <w:t>Az adatkezelés céljának megvalósulásához szükséges idő letelte, de legkésőbb a veszélyhelyzet megszűnése</w:t>
            </w:r>
          </w:p>
        </w:tc>
      </w:tr>
      <w:tr w:rsidR="00A013F3" w:rsidRPr="005A047C" w:rsidTr="00DF4CB6">
        <w:trPr>
          <w:trHeight w:val="454"/>
        </w:trPr>
        <w:tc>
          <w:tcPr>
            <w:tcW w:w="4606" w:type="dxa"/>
          </w:tcPr>
          <w:p w:rsidR="00A013F3"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Az adatkeze</w:t>
            </w:r>
            <w:r>
              <w:rPr>
                <w:rFonts w:ascii="Times New Roman" w:hAnsi="Times New Roman" w:cs="Times New Roman"/>
                <w:sz w:val="20"/>
                <w:szCs w:val="20"/>
              </w:rPr>
              <w:t xml:space="preserve">lő neve és címe (székhelye), az                                                                                                                                                                                                                                                                                                                                            </w:t>
            </w:r>
          </w:p>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adatvédelmi tisztviselő neve és elérhetősége</w:t>
            </w:r>
            <w:r>
              <w:rPr>
                <w:rFonts w:ascii="Times New Roman" w:hAnsi="Times New Roman" w:cs="Times New Roman"/>
                <w:sz w:val="20"/>
                <w:szCs w:val="20"/>
              </w:rPr>
              <w:t xml:space="preserve">     </w:t>
            </w:r>
          </w:p>
        </w:tc>
        <w:tc>
          <w:tcPr>
            <w:tcW w:w="4606" w:type="dxa"/>
          </w:tcPr>
          <w:p w:rsidR="00A013F3" w:rsidRPr="00686464" w:rsidRDefault="006A316A" w:rsidP="00DF4CB6">
            <w:pPr>
              <w:jc w:val="both"/>
              <w:rPr>
                <w:rFonts w:ascii="Times New Roman" w:hAnsi="Times New Roman" w:cs="Times New Roman"/>
                <w:sz w:val="20"/>
                <w:szCs w:val="20"/>
              </w:rPr>
            </w:pPr>
            <w:r>
              <w:rPr>
                <w:rFonts w:ascii="Times New Roman" w:hAnsi="Times New Roman" w:cs="Times New Roman"/>
                <w:sz w:val="20"/>
                <w:szCs w:val="20"/>
              </w:rPr>
              <w:t>Dr. Hollósi Csilla</w:t>
            </w:r>
            <w:r w:rsidR="00A013F3">
              <w:rPr>
                <w:rFonts w:ascii="Times New Roman" w:hAnsi="Times New Roman" w:cs="Times New Roman"/>
                <w:sz w:val="20"/>
                <w:szCs w:val="20"/>
              </w:rPr>
              <w:t>.</w:t>
            </w:r>
            <w:r w:rsidR="00A013F3" w:rsidRPr="00686464">
              <w:rPr>
                <w:rFonts w:ascii="Times New Roman" w:hAnsi="Times New Roman" w:cs="Times New Roman"/>
                <w:sz w:val="20"/>
                <w:szCs w:val="20"/>
              </w:rPr>
              <w:t xml:space="preserve"> (06</w:t>
            </w:r>
            <w:r w:rsidR="00A013F3">
              <w:rPr>
                <w:rFonts w:ascii="Times New Roman" w:hAnsi="Times New Roman" w:cs="Times New Roman"/>
                <w:sz w:val="20"/>
                <w:szCs w:val="20"/>
              </w:rPr>
              <w:t>1/432-</w:t>
            </w:r>
            <w:r>
              <w:rPr>
                <w:rFonts w:ascii="Times New Roman" w:hAnsi="Times New Roman" w:cs="Times New Roman"/>
                <w:sz w:val="20"/>
                <w:szCs w:val="20"/>
              </w:rPr>
              <w:t>5900/102-1301</w:t>
            </w:r>
            <w:r w:rsidR="00A013F3" w:rsidRPr="00686464">
              <w:rPr>
                <w:rFonts w:ascii="Times New Roman" w:hAnsi="Times New Roman" w:cs="Times New Roman"/>
                <w:sz w:val="20"/>
                <w:szCs w:val="20"/>
              </w:rPr>
              <w:t xml:space="preserve">-es mellék, </w:t>
            </w:r>
            <w:r w:rsidR="00CD04EC">
              <w:rPr>
                <w:rFonts w:ascii="Times New Roman" w:hAnsi="Times New Roman" w:cs="Times New Roman"/>
                <w:sz w:val="20"/>
                <w:szCs w:val="20"/>
              </w:rPr>
              <w:t xml:space="preserve">E-mail: </w:t>
            </w:r>
            <w:r w:rsidR="00CD04EC" w:rsidRPr="00CD04EC">
              <w:rPr>
                <w:rFonts w:ascii="Times New Roman" w:hAnsi="Times New Roman" w:cs="Times New Roman"/>
              </w:rPr>
              <w:t>bfb.uk@bv.gov.hu</w:t>
            </w:r>
          </w:p>
        </w:tc>
      </w:tr>
      <w:tr w:rsidR="00A013F3" w:rsidRPr="005A047C" w:rsidTr="00DF4CB6">
        <w:trPr>
          <w:trHeight w:val="567"/>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 tényleges adatkezelés helye, illetve az adatfeldolgozás helye</w:t>
            </w:r>
          </w:p>
        </w:tc>
        <w:tc>
          <w:tcPr>
            <w:tcW w:w="4606" w:type="dxa"/>
          </w:tcPr>
          <w:p w:rsidR="00A013F3" w:rsidRPr="005A047C" w:rsidRDefault="00A013F3" w:rsidP="00DF4CB6">
            <w:pPr>
              <w:jc w:val="both"/>
              <w:rPr>
                <w:rFonts w:ascii="Times New Roman" w:hAnsi="Times New Roman" w:cs="Times New Roman"/>
                <w:sz w:val="20"/>
                <w:szCs w:val="20"/>
              </w:rPr>
            </w:pPr>
            <w:r w:rsidRPr="005A047C">
              <w:rPr>
                <w:rFonts w:ascii="Times New Roman" w:hAnsi="Times New Roman" w:cs="Times New Roman"/>
                <w:sz w:val="20"/>
                <w:szCs w:val="20"/>
              </w:rPr>
              <w:t xml:space="preserve">Budapesti Fegyház és Börtön Személyügyi és Szociális osztály </w:t>
            </w:r>
          </w:p>
        </w:tc>
      </w:tr>
      <w:tr w:rsidR="00A013F3" w:rsidRPr="005A047C" w:rsidTr="00DF4CB6">
        <w:trPr>
          <w:trHeight w:val="567"/>
        </w:trPr>
        <w:tc>
          <w:tcPr>
            <w:tcW w:w="4606" w:type="dxa"/>
          </w:tcPr>
          <w:p w:rsidR="00A013F3" w:rsidRPr="005A047C" w:rsidRDefault="00A013F3" w:rsidP="00DF4CB6">
            <w:pPr>
              <w:rPr>
                <w:rFonts w:ascii="Times New Roman" w:hAnsi="Times New Roman" w:cs="Times New Roman"/>
                <w:sz w:val="20"/>
                <w:szCs w:val="20"/>
              </w:rPr>
            </w:pPr>
            <w:r w:rsidRPr="005A047C">
              <w:rPr>
                <w:rFonts w:ascii="Times New Roman" w:hAnsi="Times New Roman" w:cs="Times New Roman"/>
                <w:sz w:val="20"/>
                <w:szCs w:val="20"/>
              </w:rPr>
              <w:t>Az adatkezelés jogszerűsége és a személyes adatok megfelelő szintű biztonsága érdekében végrehajtott műszaki és szervezési biztonsági intézkedések általános leírása</w:t>
            </w:r>
          </w:p>
        </w:tc>
        <w:tc>
          <w:tcPr>
            <w:tcW w:w="4606" w:type="dxa"/>
          </w:tcPr>
          <w:p w:rsidR="00A013F3" w:rsidRPr="005A047C" w:rsidRDefault="00A013F3" w:rsidP="00DF4CB6">
            <w:pPr>
              <w:jc w:val="both"/>
              <w:rPr>
                <w:rFonts w:ascii="Times New Roman" w:hAnsi="Times New Roman" w:cs="Times New Roman"/>
                <w:sz w:val="20"/>
                <w:szCs w:val="20"/>
              </w:rPr>
            </w:pPr>
            <w:r w:rsidRPr="005A047C">
              <w:rPr>
                <w:rFonts w:ascii="Times New Roman" w:hAnsi="Times New Roman" w:cs="Times New Roman"/>
                <w:sz w:val="20"/>
                <w:szCs w:val="20"/>
              </w:rPr>
              <w:t xml:space="preserve">A büntetés-végrehajtási szervezet Adatvédelmi és Adatbiztonsági Szabályzatában, Egységes Iratkezelési Szabályzatában, valamint Informatikai Biztonsági Szabályzatában foglalt intézkedések </w:t>
            </w:r>
          </w:p>
        </w:tc>
      </w:tr>
    </w:tbl>
    <w:p w:rsidR="00A013F3" w:rsidRPr="005A047C" w:rsidRDefault="00A013F3" w:rsidP="00A013F3">
      <w:pPr>
        <w:spacing w:after="0" w:line="240" w:lineRule="auto"/>
        <w:jc w:val="both"/>
        <w:rPr>
          <w:rFonts w:ascii="Times New Roman" w:hAnsi="Times New Roman" w:cs="Times New Roman"/>
          <w:sz w:val="24"/>
          <w:szCs w:val="24"/>
        </w:rPr>
      </w:pPr>
    </w:p>
    <w:p w:rsidR="00A013F3" w:rsidRPr="005A047C" w:rsidRDefault="00A013F3" w:rsidP="00A013F3">
      <w:pPr>
        <w:spacing w:after="0" w:line="240" w:lineRule="auto"/>
        <w:jc w:val="both"/>
        <w:rPr>
          <w:rFonts w:ascii="Times New Roman" w:hAnsi="Times New Roman" w:cs="Times New Roman"/>
          <w:sz w:val="20"/>
          <w:szCs w:val="24"/>
        </w:rPr>
      </w:pPr>
      <w:r w:rsidRPr="005A047C">
        <w:rPr>
          <w:rFonts w:ascii="Times New Roman" w:hAnsi="Times New Roman" w:cs="Times New Roman"/>
          <w:sz w:val="20"/>
          <w:szCs w:val="24"/>
        </w:rPr>
        <w:t>Az adatkezelő az érintett személyek személyes adatait eltérő célra nem használja fel.</w:t>
      </w:r>
    </w:p>
    <w:p w:rsidR="00A013F3" w:rsidRPr="005A047C" w:rsidRDefault="00A013F3" w:rsidP="00A013F3">
      <w:pPr>
        <w:spacing w:after="0" w:line="240" w:lineRule="auto"/>
        <w:jc w:val="both"/>
        <w:rPr>
          <w:rFonts w:ascii="Times New Roman" w:hAnsi="Times New Roman" w:cs="Times New Roman"/>
          <w:sz w:val="20"/>
          <w:szCs w:val="24"/>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Az adatkezeléssel kapcsolatos jogok és jogorvoslati lehetőségek</w:t>
      </w:r>
    </w:p>
    <w:p w:rsidR="00A013F3" w:rsidRPr="005A047C" w:rsidRDefault="00A013F3" w:rsidP="00A013F3">
      <w:pPr>
        <w:spacing w:after="0" w:line="240" w:lineRule="auto"/>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A GDPR 15-18. cikkében foglaltaknak megfelelően az adatkezeléssel összefüggésben az adatkezelő adatvédelmi tisztviselőjén keresztül jogosult:</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 hozzáférési jog érvényesülése érdekében tájékoztatást kérni személyes adatai kezeléséről, valamint kérni a kezelt személyes adatok rendelkezésre bocsátását,</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lastRenderedPageBreak/>
        <w:t>a helyesbítéshez való jog érvényesülése érdekében pontatlan adatok esetén helyesbítést vagy a hiányos adatok kiegészítését kérni,</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 törléshez való jog érvényesülése érdekében kérni a hozzájárulás alapján kezelt adatok törlését,</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az adatkezelés korlátozásához való jog érvényesülése érdekében kérni az adatkezelés korlátozását.</w:t>
      </w: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Hozzájáruláson alapuló adatkezelés esetén jogosult a hozzájárulás bármely időpontban történő visszavonásához, mely nem érinti a visszavonás előtt a hozzájárulás alapján végrehajtott adatkezelés jogszerűségét.</w:t>
      </w:r>
    </w:p>
    <w:p w:rsidR="00A013F3" w:rsidRPr="005A047C" w:rsidRDefault="00A013F3" w:rsidP="00A013F3">
      <w:pPr>
        <w:spacing w:after="0" w:line="240" w:lineRule="auto"/>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 xml:space="preserve">Tájékoztatás kérése alapján – amennyiben az nem esik törvényben meghatározott érdekből korlátozás alá – megismerheti, hogy személyes adatainak kezelése folyamatban van-e az adatkezelőnél, és jogosult arra, hogy a rá vonatkozóan kezelt adatok kapcsán tájékoztatást kapjon </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az adatkezelés céljáról,</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 xml:space="preserve">az adatkezelés jogalapjáról, </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az adatkezelés időtartamáról,</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 kezelt adatok köréről, amelyek másolatát kérelemre az érintett rendelkezésére bocsátja,</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 személyes adatok címzettjeiről, illetve a címzettek kategóriáiról,</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harmadik országba vagy nemzetközi szervezet részére történő továbbításról,</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 xml:space="preserve">az adatok forrásáról, amennyiben azokat nem az érintettől gyűjtötte, </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az automatizált döntéshozatal jellemzőiről, ha ilyet alkalmaz az adatkezelő,</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 xml:space="preserve">az adatkezeléssel kapcsolatos </w:t>
      </w:r>
      <w:r w:rsidR="006A316A" w:rsidRPr="005A047C">
        <w:rPr>
          <w:rFonts w:ascii="Times New Roman" w:hAnsi="Times New Roman" w:cs="Times New Roman"/>
          <w:sz w:val="20"/>
          <w:szCs w:val="20"/>
        </w:rPr>
        <w:t>érintett</w:t>
      </w:r>
      <w:r w:rsidRPr="005A047C">
        <w:rPr>
          <w:rFonts w:ascii="Times New Roman" w:hAnsi="Times New Roman" w:cs="Times New Roman"/>
          <w:sz w:val="20"/>
          <w:szCs w:val="20"/>
        </w:rPr>
        <w:t xml:space="preserve"> jogairól,</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jogorvoslati lehetőségeiről.</w:t>
      </w:r>
    </w:p>
    <w:p w:rsidR="00A013F3" w:rsidRPr="005A047C" w:rsidRDefault="00A013F3" w:rsidP="00A013F3">
      <w:pPr>
        <w:spacing w:after="0" w:line="240" w:lineRule="auto"/>
        <w:ind w:left="360"/>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 xml:space="preserve">A 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5A047C">
        <w:rPr>
          <w:rFonts w:ascii="Times New Roman" w:hAnsi="Times New Roman" w:cs="Times New Roman"/>
          <w:sz w:val="20"/>
          <w:szCs w:val="20"/>
        </w:rPr>
        <w:t>észszerű</w:t>
      </w:r>
      <w:proofErr w:type="spellEnd"/>
      <w:r w:rsidRPr="005A047C">
        <w:rPr>
          <w:rFonts w:ascii="Times New Roman" w:hAnsi="Times New Roman" w:cs="Times New Roman"/>
          <w:sz w:val="20"/>
          <w:szCs w:val="20"/>
        </w:rPr>
        <w:t xml:space="preserve"> összegű díj számítható fel vagy a kérelem alapján történő intézkedés megtagadható.</w:t>
      </w:r>
    </w:p>
    <w:p w:rsidR="00A013F3" w:rsidRPr="005A047C" w:rsidRDefault="00A013F3" w:rsidP="00A013F3">
      <w:pPr>
        <w:spacing w:after="0" w:line="240" w:lineRule="auto"/>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A013F3" w:rsidRPr="005A047C" w:rsidRDefault="00A013F3" w:rsidP="00A013F3">
      <w:pPr>
        <w:spacing w:after="0" w:line="240" w:lineRule="auto"/>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013F3" w:rsidRPr="005A047C" w:rsidRDefault="00A013F3" w:rsidP="00A013F3">
      <w:pPr>
        <w:spacing w:after="0" w:line="240" w:lineRule="auto"/>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 xml:space="preserve">Az adat törlésének, zárolásának kérése esetén az érintett kérheti adatainak törlését, amely alapján az adatkezelő köteles arra, hogy az érintettre vonatkozó adatokat indokolatlan késedelem nélkül törölje, ha: </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 xml:space="preserve">a személyes adatokra már nincs szükség abból a célból, amiért kezelték, </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ha az érintett hozzájárulásán alapult az adatok kezelése és azt visszavonta, és más jogalap az adatok további kezelését nem teszi jogszerűvé,</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az érintett tiltakozik az adatkezelés ellen,</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 személyes adatokat jogellenesen kezelték,</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 személyes adatokat az adatkezelőre alkalmazandó jogszabályban előírt jogi kötelezettség teljesítéséhez törölni kell.</w:t>
      </w:r>
    </w:p>
    <w:p w:rsidR="00A013F3" w:rsidRPr="005A047C" w:rsidRDefault="00A013F3" w:rsidP="00A013F3">
      <w:pPr>
        <w:spacing w:after="0" w:line="240" w:lineRule="auto"/>
        <w:ind w:left="720"/>
        <w:contextualSpacing/>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 xml:space="preserve">Olyan adatnak a törlését vagy zárolását azonban az adatkezelő nem végezheti el, amelynek a kezelésére közhatalom gyakorlása, jogi kötelezettsége teljesítése keretében van szükség, vagy amelyet jogi igények előterjesztéséhez, érvényesítéséhez, illetve védelméhez kezel. </w:t>
      </w:r>
    </w:p>
    <w:p w:rsidR="00A013F3" w:rsidRPr="005A047C" w:rsidRDefault="00A013F3" w:rsidP="00A013F3">
      <w:pPr>
        <w:spacing w:after="0" w:line="240" w:lineRule="auto"/>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Az adatkezelés korlátozására abban az esetben van lehetőség, amennyiben</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az érintett vitatja a személyes adatok pontosságát, ez esetben a korlátozás arra az időtartamra vonatkozik, amely lehetővé teszi, hogy az adatkezelő ellenőrizze a személyes adatok pontosságát,</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 xml:space="preserve">az adatkezelés jogellenes, és az érintett ellenzi az adatok törlését, és </w:t>
      </w:r>
      <w:proofErr w:type="gramStart"/>
      <w:r w:rsidRPr="005A047C">
        <w:rPr>
          <w:rFonts w:ascii="Times New Roman" w:hAnsi="Times New Roman" w:cs="Times New Roman"/>
          <w:sz w:val="20"/>
          <w:szCs w:val="20"/>
        </w:rPr>
        <w:t>ehelyett</w:t>
      </w:r>
      <w:proofErr w:type="gramEnd"/>
      <w:r w:rsidRPr="005A047C">
        <w:rPr>
          <w:rFonts w:ascii="Times New Roman" w:hAnsi="Times New Roman" w:cs="Times New Roman"/>
          <w:sz w:val="20"/>
          <w:szCs w:val="20"/>
        </w:rPr>
        <w:t xml:space="preserve"> kéri azok felhasználásának korlátozását,</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az adatkezelőnek már nincs szüksége a személyes adatokra adatkezelés céljából, de az érintett igényli azokat jogi igények előterjesztéséhez, érvényesítéséhez vagy védelméhez,</w:t>
      </w:r>
    </w:p>
    <w:p w:rsidR="00A013F3" w:rsidRPr="005A047C" w:rsidRDefault="00A013F3" w:rsidP="00A013F3">
      <w:pPr>
        <w:numPr>
          <w:ilvl w:val="0"/>
          <w:numId w:val="1"/>
        </w:numPr>
        <w:spacing w:after="0" w:line="240" w:lineRule="auto"/>
        <w:contextualSpacing/>
        <w:jc w:val="both"/>
        <w:rPr>
          <w:rFonts w:ascii="Times New Roman" w:hAnsi="Times New Roman" w:cs="Times New Roman"/>
          <w:sz w:val="20"/>
          <w:szCs w:val="20"/>
        </w:rPr>
      </w:pPr>
      <w:r w:rsidRPr="005A047C">
        <w:rPr>
          <w:rFonts w:ascii="Times New Roman" w:hAnsi="Times New Roman" w:cs="Times New Roman"/>
          <w:sz w:val="20"/>
          <w:szCs w:val="20"/>
        </w:rPr>
        <w:t>az érintett a tiltakozott az adatkezelés ellen; ez esetben a korlátozás arra az időtartamra vonatkozik, amíg megállapításra nem kerül, hogy az adatkezelő jogos indokai elsőbbséget élveznek-e az érintett jogos indokaival szemben.</w:t>
      </w:r>
    </w:p>
    <w:p w:rsidR="00A013F3" w:rsidRPr="005A047C" w:rsidRDefault="00A013F3" w:rsidP="00A013F3">
      <w:pPr>
        <w:spacing w:after="0" w:line="240" w:lineRule="auto"/>
        <w:ind w:left="360"/>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 xml:space="preserve">Ha az adat korlátozás alá esik, az ilyen személyes adatokat a tárolás kivételével csak az érintett hozzájárulásával, vagy jogi igények előterjesztéséhez, érvényesítéséhez vagy védelméhez, vagy más természetes vagy jogi </w:t>
      </w:r>
      <w:r w:rsidRPr="005A047C">
        <w:rPr>
          <w:rFonts w:ascii="Times New Roman" w:hAnsi="Times New Roman" w:cs="Times New Roman"/>
          <w:sz w:val="20"/>
          <w:szCs w:val="20"/>
        </w:rPr>
        <w:lastRenderedPageBreak/>
        <w:t>személy jogainak védelme érdekében, vagy az Unió, illetve valamely tagállam fontos közérdekéből lehet kezelni.</w:t>
      </w:r>
    </w:p>
    <w:p w:rsidR="00A013F3" w:rsidRPr="005A047C" w:rsidRDefault="00A013F3" w:rsidP="00A013F3">
      <w:pPr>
        <w:spacing w:after="0" w:line="240" w:lineRule="auto"/>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p>
    <w:p w:rsidR="00A013F3" w:rsidRPr="005A047C" w:rsidRDefault="00A013F3" w:rsidP="00A013F3">
      <w:pPr>
        <w:spacing w:after="0" w:line="240" w:lineRule="auto"/>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 xml:space="preserve">Az adatkezeléssel kapcsolatos jogok érvényesítésének korlátozása, kérelme elutasítása, vagy a személyes adatok kezelésére vonatkozó jogszabályok megsértése esetén a Nemzeti Adatvédelmi és Információszabadság Hatósághoz fordulhat (székhely: 1125 Budapest, Szilágyi Erzsébet fasor 22/C., telefon: 06/1/391-1400, e-mail: </w:t>
      </w:r>
      <w:hyperlink r:id="rId8" w:history="1">
        <w:r w:rsidRPr="005A047C">
          <w:rPr>
            <w:rFonts w:ascii="Times New Roman" w:hAnsi="Times New Roman" w:cs="Times New Roman"/>
            <w:color w:val="0000FF" w:themeColor="hyperlink"/>
            <w:sz w:val="20"/>
            <w:szCs w:val="20"/>
            <w:u w:val="single"/>
          </w:rPr>
          <w:t>ugyfelszolgalat@naih.hu</w:t>
        </w:r>
      </w:hyperlink>
      <w:r w:rsidRPr="005A047C">
        <w:rPr>
          <w:rFonts w:ascii="Times New Roman" w:hAnsi="Times New Roman" w:cs="Times New Roman"/>
          <w:sz w:val="20"/>
          <w:szCs w:val="20"/>
        </w:rPr>
        <w:t>).</w:t>
      </w:r>
    </w:p>
    <w:p w:rsidR="00A013F3" w:rsidRPr="005A047C" w:rsidRDefault="00A013F3" w:rsidP="00A013F3">
      <w:pPr>
        <w:spacing w:after="0" w:line="240" w:lineRule="auto"/>
        <w:ind w:left="720"/>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r w:rsidRPr="005A047C">
        <w:rPr>
          <w:rFonts w:ascii="Times New Roman" w:hAnsi="Times New Roman" w:cs="Times New Roman"/>
          <w:sz w:val="20"/>
          <w:szCs w:val="20"/>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w:t>
      </w:r>
      <w:hyperlink r:id="rId9" w:history="1">
        <w:r w:rsidRPr="005A047C">
          <w:rPr>
            <w:rFonts w:ascii="Times New Roman" w:hAnsi="Times New Roman" w:cs="Times New Roman"/>
            <w:color w:val="0000FF" w:themeColor="hyperlink"/>
            <w:sz w:val="20"/>
            <w:szCs w:val="20"/>
            <w:u w:val="single"/>
          </w:rPr>
          <w:t>http://birosag.hu/torvenyszekek</w:t>
        </w:r>
      </w:hyperlink>
      <w:r w:rsidRPr="005A047C">
        <w:rPr>
          <w:rFonts w:ascii="Times New Roman" w:hAnsi="Times New Roman" w:cs="Times New Roman"/>
          <w:sz w:val="20"/>
          <w:szCs w:val="20"/>
        </w:rPr>
        <w:t xml:space="preserve">. </w:t>
      </w:r>
    </w:p>
    <w:p w:rsidR="00A013F3" w:rsidRPr="005A047C" w:rsidRDefault="00A013F3" w:rsidP="00A013F3">
      <w:pPr>
        <w:spacing w:after="0" w:line="240" w:lineRule="auto"/>
        <w:jc w:val="both"/>
        <w:rPr>
          <w:rFonts w:ascii="Times New Roman" w:hAnsi="Times New Roman" w:cs="Times New Roman"/>
          <w:sz w:val="20"/>
          <w:szCs w:val="20"/>
        </w:rPr>
      </w:pPr>
    </w:p>
    <w:p w:rsidR="00A013F3" w:rsidRPr="005A047C" w:rsidRDefault="00A013F3" w:rsidP="00A013F3">
      <w:pPr>
        <w:spacing w:after="0" w:line="240" w:lineRule="auto"/>
        <w:jc w:val="both"/>
        <w:rPr>
          <w:rFonts w:ascii="Times New Roman" w:hAnsi="Times New Roman" w:cs="Times New Roman"/>
          <w:sz w:val="20"/>
          <w:szCs w:val="20"/>
        </w:rPr>
      </w:pPr>
    </w:p>
    <w:p w:rsidR="00A013F3" w:rsidRPr="00E72CE1" w:rsidRDefault="00A013F3" w:rsidP="00A013F3">
      <w:pPr>
        <w:spacing w:after="0" w:line="240" w:lineRule="auto"/>
        <w:rPr>
          <w:rFonts w:ascii="Times New Roman" w:hAnsi="Times New Roman" w:cs="Times New Roman"/>
          <w:bCs/>
          <w:sz w:val="18"/>
          <w:szCs w:val="18"/>
        </w:rPr>
      </w:pPr>
    </w:p>
    <w:p w:rsidR="00A013F3" w:rsidRDefault="00A013F3"/>
    <w:sectPr w:rsidR="00A013F3" w:rsidSect="0081139E">
      <w:headerReference w:type="default" r:id="rId10"/>
      <w:footerReference w:type="default" r:id="rId11"/>
      <w:headerReference w:type="first" r:id="rId12"/>
      <w:pgSz w:w="11906" w:h="16838"/>
      <w:pgMar w:top="851" w:right="1417" w:bottom="709" w:left="1417" w:header="426"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3F3" w:rsidRDefault="00A013F3" w:rsidP="00A013F3">
      <w:pPr>
        <w:spacing w:after="0" w:line="240" w:lineRule="auto"/>
      </w:pPr>
      <w:r>
        <w:separator/>
      </w:r>
    </w:p>
  </w:endnote>
  <w:endnote w:type="continuationSeparator" w:id="0">
    <w:p w:rsidR="00A013F3" w:rsidRDefault="00A013F3" w:rsidP="00A01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277244"/>
      <w:docPartObj>
        <w:docPartGallery w:val="Page Numbers (Bottom of Page)"/>
        <w:docPartUnique/>
      </w:docPartObj>
    </w:sdtPr>
    <w:sdtEndPr>
      <w:rPr>
        <w:rFonts w:ascii="Times New Roman" w:hAnsi="Times New Roman" w:cs="Times New Roman"/>
        <w:sz w:val="16"/>
        <w:szCs w:val="16"/>
      </w:rPr>
    </w:sdtEndPr>
    <w:sdtContent>
      <w:p w:rsidR="00686464" w:rsidRDefault="00986475">
        <w:pPr>
          <w:pStyle w:val="llb"/>
          <w:jc w:val="center"/>
        </w:pPr>
      </w:p>
      <w:p w:rsidR="00686464" w:rsidRPr="0017151D" w:rsidRDefault="00A013F3">
        <w:pPr>
          <w:pStyle w:val="llb"/>
          <w:jc w:val="center"/>
          <w:rPr>
            <w:rFonts w:ascii="Times New Roman" w:hAnsi="Times New Roman" w:cs="Times New Roman"/>
            <w:sz w:val="16"/>
            <w:szCs w:val="16"/>
          </w:rPr>
        </w:pPr>
        <w:r w:rsidRPr="0017151D">
          <w:rPr>
            <w:rFonts w:ascii="Times New Roman" w:hAnsi="Times New Roman" w:cs="Times New Roman"/>
            <w:sz w:val="16"/>
            <w:szCs w:val="16"/>
          </w:rPr>
          <w:fldChar w:fldCharType="begin"/>
        </w:r>
        <w:r w:rsidRPr="0017151D">
          <w:rPr>
            <w:rFonts w:ascii="Times New Roman" w:hAnsi="Times New Roman" w:cs="Times New Roman"/>
            <w:sz w:val="16"/>
            <w:szCs w:val="16"/>
          </w:rPr>
          <w:instrText>PAGE   \* MERGEFORMAT</w:instrText>
        </w:r>
        <w:r w:rsidRPr="0017151D">
          <w:rPr>
            <w:rFonts w:ascii="Times New Roman" w:hAnsi="Times New Roman" w:cs="Times New Roman"/>
            <w:sz w:val="16"/>
            <w:szCs w:val="16"/>
          </w:rPr>
          <w:fldChar w:fldCharType="separate"/>
        </w:r>
        <w:r w:rsidR="00CD04EC">
          <w:rPr>
            <w:rFonts w:ascii="Times New Roman" w:hAnsi="Times New Roman" w:cs="Times New Roman"/>
            <w:noProof/>
            <w:sz w:val="16"/>
            <w:szCs w:val="16"/>
          </w:rPr>
          <w:t>2</w:t>
        </w:r>
        <w:r w:rsidRPr="0017151D">
          <w:rPr>
            <w:rFonts w:ascii="Times New Roman" w:hAnsi="Times New Roman" w:cs="Times New Roman"/>
            <w:sz w:val="16"/>
            <w:szCs w:val="16"/>
          </w:rPr>
          <w:fldChar w:fldCharType="end"/>
        </w:r>
      </w:p>
    </w:sdtContent>
  </w:sdt>
  <w:p w:rsidR="00686464" w:rsidRDefault="00986475">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3F3" w:rsidRDefault="00A013F3" w:rsidP="00A013F3">
      <w:pPr>
        <w:spacing w:after="0" w:line="240" w:lineRule="auto"/>
      </w:pPr>
      <w:r>
        <w:separator/>
      </w:r>
    </w:p>
  </w:footnote>
  <w:footnote w:type="continuationSeparator" w:id="0">
    <w:p w:rsidR="00A013F3" w:rsidRDefault="00A013F3" w:rsidP="00A013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464" w:rsidRDefault="00986475" w:rsidP="00327728">
    <w:pPr>
      <w:pStyle w:val="lfej"/>
      <w:jc w:val="center"/>
    </w:pPr>
  </w:p>
  <w:p w:rsidR="00686464" w:rsidRPr="004B2E45" w:rsidRDefault="00986475" w:rsidP="00327728">
    <w:pPr>
      <w:pStyle w:val="lfej"/>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464" w:rsidRDefault="00A013F3" w:rsidP="00F158FF">
    <w:pPr>
      <w:pStyle w:val="lfej"/>
      <w:jc w:val="center"/>
      <w:rPr>
        <w:rFonts w:ascii="Times New Roman" w:hAnsi="Times New Roman" w:cs="Times New Roman"/>
        <w:sz w:val="24"/>
      </w:rPr>
    </w:pPr>
    <w:r w:rsidRPr="00F158FF">
      <w:rPr>
        <w:rFonts w:ascii="Times New Roman" w:hAnsi="Times New Roman" w:cs="Times New Roman"/>
        <w:noProof/>
        <w:sz w:val="24"/>
        <w:lang w:eastAsia="hu-HU"/>
      </w:rPr>
      <w:drawing>
        <wp:inline distT="0" distB="0" distL="0" distR="0" wp14:anchorId="7B6D6EDE" wp14:editId="30433036">
          <wp:extent cx="448801" cy="859809"/>
          <wp:effectExtent l="0" t="0" r="889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390" cy="868601"/>
                  </a:xfrm>
                  <a:prstGeom prst="rect">
                    <a:avLst/>
                  </a:prstGeom>
                  <a:noFill/>
                  <a:ln>
                    <a:noFill/>
                  </a:ln>
                </pic:spPr>
              </pic:pic>
            </a:graphicData>
          </a:graphic>
        </wp:inline>
      </w:drawing>
    </w:r>
    <w:r w:rsidRPr="00F158FF">
      <w:rPr>
        <w:rFonts w:ascii="Times New Roman" w:hAnsi="Times New Roman" w:cs="Times New Roman"/>
        <w:sz w:val="24"/>
      </w:rPr>
      <w:t xml:space="preserve"> </w:t>
    </w:r>
  </w:p>
  <w:p w:rsidR="006A316A" w:rsidRPr="00F158FF" w:rsidRDefault="006A316A" w:rsidP="00F158FF">
    <w:pPr>
      <w:pStyle w:val="lfej"/>
      <w:jc w:val="center"/>
      <w:rPr>
        <w:rFonts w:ascii="Times New Roman" w:hAnsi="Times New Roman" w:cs="Times New Roman"/>
        <w:sz w:val="24"/>
      </w:rPr>
    </w:pPr>
    <w:r>
      <w:rPr>
        <w:rFonts w:ascii="Times New Roman" w:hAnsi="Times New Roman" w:cs="Times New Roman"/>
        <w:sz w:val="24"/>
      </w:rPr>
      <w:t>II. AGGLOMERÁCIÓS KÖZPONT</w:t>
    </w:r>
  </w:p>
  <w:p w:rsidR="00686464" w:rsidRPr="00F158FF" w:rsidRDefault="00A013F3" w:rsidP="00F158FF">
    <w:pPr>
      <w:pStyle w:val="lfej"/>
      <w:jc w:val="center"/>
      <w:rPr>
        <w:rFonts w:ascii="Times New Roman" w:hAnsi="Times New Roman" w:cs="Times New Roman"/>
      </w:rPr>
    </w:pPr>
    <w:r>
      <w:rPr>
        <w:rFonts w:ascii="Times New Roman" w:hAnsi="Times New Roman" w:cs="Times New Roman"/>
        <w:sz w:val="24"/>
      </w:rPr>
      <w:t xml:space="preserve">BUDAPESTI FEGYHÁZ </w:t>
    </w:r>
    <w:proofErr w:type="gramStart"/>
    <w:r>
      <w:rPr>
        <w:rFonts w:ascii="Times New Roman" w:hAnsi="Times New Roman" w:cs="Times New Roman"/>
        <w:sz w:val="24"/>
      </w:rPr>
      <w:t>ÉS</w:t>
    </w:r>
    <w:proofErr w:type="gramEnd"/>
    <w:r>
      <w:rPr>
        <w:rFonts w:ascii="Times New Roman" w:hAnsi="Times New Roman" w:cs="Times New Roman"/>
        <w:sz w:val="24"/>
      </w:rPr>
      <w:t xml:space="preserve"> BÖRTÖN</w:t>
    </w:r>
  </w:p>
  <w:p w:rsidR="00686464" w:rsidRPr="00F158FF" w:rsidRDefault="00986475" w:rsidP="00F158FF">
    <w:pPr>
      <w:autoSpaceDE w:val="0"/>
      <w:autoSpaceDN w:val="0"/>
      <w:adjustRightInd w:val="0"/>
      <w:spacing w:after="0" w:line="276" w:lineRule="atLeast"/>
      <w:jc w:val="center"/>
      <w:rPr>
        <w:rFonts w:ascii="Times New Roman" w:hAnsi="Times New Roman" w:cs="Times New Roman"/>
        <w:bCs/>
        <w:iCs/>
        <w:color w:val="000000"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B6036"/>
    <w:multiLevelType w:val="hybridMultilevel"/>
    <w:tmpl w:val="E78A52FC"/>
    <w:lvl w:ilvl="0" w:tplc="42762E3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E3B619A"/>
    <w:multiLevelType w:val="hybridMultilevel"/>
    <w:tmpl w:val="A4D2B2F0"/>
    <w:lvl w:ilvl="0" w:tplc="6B727346">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3F3"/>
    <w:rsid w:val="006A316A"/>
    <w:rsid w:val="00986475"/>
    <w:rsid w:val="00A013F3"/>
    <w:rsid w:val="00B6240D"/>
    <w:rsid w:val="00CD04E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13F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A013F3"/>
    <w:rPr>
      <w:color w:val="0000FF" w:themeColor="hyperlink"/>
      <w:u w:val="single"/>
    </w:rPr>
  </w:style>
  <w:style w:type="paragraph" w:styleId="lfej">
    <w:name w:val="header"/>
    <w:basedOn w:val="Norml"/>
    <w:link w:val="lfejChar"/>
    <w:uiPriority w:val="99"/>
    <w:unhideWhenUsed/>
    <w:rsid w:val="00A013F3"/>
    <w:pPr>
      <w:tabs>
        <w:tab w:val="center" w:pos="4536"/>
        <w:tab w:val="right" w:pos="9072"/>
      </w:tabs>
      <w:spacing w:after="0" w:line="240" w:lineRule="auto"/>
    </w:pPr>
  </w:style>
  <w:style w:type="character" w:customStyle="1" w:styleId="lfejChar">
    <w:name w:val="Élőfej Char"/>
    <w:basedOn w:val="Bekezdsalapbettpusa"/>
    <w:link w:val="lfej"/>
    <w:uiPriority w:val="99"/>
    <w:rsid w:val="00A013F3"/>
  </w:style>
  <w:style w:type="paragraph" w:styleId="llb">
    <w:name w:val="footer"/>
    <w:basedOn w:val="Norml"/>
    <w:link w:val="llbChar"/>
    <w:uiPriority w:val="99"/>
    <w:unhideWhenUsed/>
    <w:rsid w:val="00A013F3"/>
    <w:pPr>
      <w:tabs>
        <w:tab w:val="center" w:pos="4536"/>
        <w:tab w:val="right" w:pos="9072"/>
      </w:tabs>
      <w:spacing w:after="0" w:line="240" w:lineRule="auto"/>
    </w:pPr>
  </w:style>
  <w:style w:type="character" w:customStyle="1" w:styleId="llbChar">
    <w:name w:val="Élőláb Char"/>
    <w:basedOn w:val="Bekezdsalapbettpusa"/>
    <w:link w:val="llb"/>
    <w:uiPriority w:val="99"/>
    <w:rsid w:val="00A013F3"/>
  </w:style>
  <w:style w:type="table" w:styleId="Rcsostblzat">
    <w:name w:val="Table Grid"/>
    <w:basedOn w:val="Normltblzat"/>
    <w:uiPriority w:val="59"/>
    <w:rsid w:val="00A01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A013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013F3"/>
    <w:rPr>
      <w:rFonts w:ascii="Tahoma" w:hAnsi="Tahoma" w:cs="Tahoma"/>
      <w:sz w:val="16"/>
      <w:szCs w:val="16"/>
    </w:rPr>
  </w:style>
  <w:style w:type="paragraph" w:styleId="Listaszerbekezds">
    <w:name w:val="List Paragraph"/>
    <w:aliases w:val="Számozott lista 1,Eszeri felsorolás,List Paragraph à moi,Welt L Char,Welt L,Bullet List,FooterText,List Paragraph1,numbered,Paragraphe de liste1,Bulletr List Paragraph,列出段落,列出段落1,Listeafsnit1,Parágrafo da Lista1,List Paragraph2,リスト段落"/>
    <w:basedOn w:val="Norml"/>
    <w:link w:val="ListaszerbekezdsChar"/>
    <w:uiPriority w:val="34"/>
    <w:qFormat/>
    <w:rsid w:val="00A013F3"/>
    <w:pPr>
      <w:spacing w:after="0" w:line="240" w:lineRule="auto"/>
      <w:ind w:left="720"/>
    </w:pPr>
    <w:rPr>
      <w:rFonts w:ascii="Calibri" w:hAnsi="Calibri" w:cs="Times New Roman"/>
    </w:rPr>
  </w:style>
  <w:style w:type="paragraph" w:styleId="NormlWeb">
    <w:name w:val="Normal (Web)"/>
    <w:basedOn w:val="Norml"/>
    <w:uiPriority w:val="99"/>
    <w:rsid w:val="00A013F3"/>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character" w:customStyle="1" w:styleId="ListaszerbekezdsChar">
    <w:name w:val="Listaszerű bekezdés Char"/>
    <w:aliases w:val="Számozott lista 1 Char,Eszeri felsorolás Char,List Paragraph à moi Char,Welt L Char Char,Welt L Char1,Bullet List Char,FooterText Char,List Paragraph1 Char,numbered Char,Paragraphe de liste1 Char,Bulletr List Paragraph Char"/>
    <w:link w:val="Listaszerbekezds"/>
    <w:uiPriority w:val="34"/>
    <w:qFormat/>
    <w:rsid w:val="00A013F3"/>
    <w:rPr>
      <w:rFonts w:ascii="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013F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A013F3"/>
    <w:rPr>
      <w:color w:val="0000FF" w:themeColor="hyperlink"/>
      <w:u w:val="single"/>
    </w:rPr>
  </w:style>
  <w:style w:type="paragraph" w:styleId="lfej">
    <w:name w:val="header"/>
    <w:basedOn w:val="Norml"/>
    <w:link w:val="lfejChar"/>
    <w:uiPriority w:val="99"/>
    <w:unhideWhenUsed/>
    <w:rsid w:val="00A013F3"/>
    <w:pPr>
      <w:tabs>
        <w:tab w:val="center" w:pos="4536"/>
        <w:tab w:val="right" w:pos="9072"/>
      </w:tabs>
      <w:spacing w:after="0" w:line="240" w:lineRule="auto"/>
    </w:pPr>
  </w:style>
  <w:style w:type="character" w:customStyle="1" w:styleId="lfejChar">
    <w:name w:val="Élőfej Char"/>
    <w:basedOn w:val="Bekezdsalapbettpusa"/>
    <w:link w:val="lfej"/>
    <w:uiPriority w:val="99"/>
    <w:rsid w:val="00A013F3"/>
  </w:style>
  <w:style w:type="paragraph" w:styleId="llb">
    <w:name w:val="footer"/>
    <w:basedOn w:val="Norml"/>
    <w:link w:val="llbChar"/>
    <w:uiPriority w:val="99"/>
    <w:unhideWhenUsed/>
    <w:rsid w:val="00A013F3"/>
    <w:pPr>
      <w:tabs>
        <w:tab w:val="center" w:pos="4536"/>
        <w:tab w:val="right" w:pos="9072"/>
      </w:tabs>
      <w:spacing w:after="0" w:line="240" w:lineRule="auto"/>
    </w:pPr>
  </w:style>
  <w:style w:type="character" w:customStyle="1" w:styleId="llbChar">
    <w:name w:val="Élőláb Char"/>
    <w:basedOn w:val="Bekezdsalapbettpusa"/>
    <w:link w:val="llb"/>
    <w:uiPriority w:val="99"/>
    <w:rsid w:val="00A013F3"/>
  </w:style>
  <w:style w:type="table" w:styleId="Rcsostblzat">
    <w:name w:val="Table Grid"/>
    <w:basedOn w:val="Normltblzat"/>
    <w:uiPriority w:val="59"/>
    <w:rsid w:val="00A013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A013F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013F3"/>
    <w:rPr>
      <w:rFonts w:ascii="Tahoma" w:hAnsi="Tahoma" w:cs="Tahoma"/>
      <w:sz w:val="16"/>
      <w:szCs w:val="16"/>
    </w:rPr>
  </w:style>
  <w:style w:type="paragraph" w:styleId="Listaszerbekezds">
    <w:name w:val="List Paragraph"/>
    <w:aliases w:val="Számozott lista 1,Eszeri felsorolás,List Paragraph à moi,Welt L Char,Welt L,Bullet List,FooterText,List Paragraph1,numbered,Paragraphe de liste1,Bulletr List Paragraph,列出段落,列出段落1,Listeafsnit1,Parágrafo da Lista1,List Paragraph2,リスト段落"/>
    <w:basedOn w:val="Norml"/>
    <w:link w:val="ListaszerbekezdsChar"/>
    <w:uiPriority w:val="34"/>
    <w:qFormat/>
    <w:rsid w:val="00A013F3"/>
    <w:pPr>
      <w:spacing w:after="0" w:line="240" w:lineRule="auto"/>
      <w:ind w:left="720"/>
    </w:pPr>
    <w:rPr>
      <w:rFonts w:ascii="Calibri" w:hAnsi="Calibri" w:cs="Times New Roman"/>
    </w:rPr>
  </w:style>
  <w:style w:type="paragraph" w:styleId="NormlWeb">
    <w:name w:val="Normal (Web)"/>
    <w:basedOn w:val="Norml"/>
    <w:uiPriority w:val="99"/>
    <w:rsid w:val="00A013F3"/>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character" w:customStyle="1" w:styleId="ListaszerbekezdsChar">
    <w:name w:val="Listaszerű bekezdés Char"/>
    <w:aliases w:val="Számozott lista 1 Char,Eszeri felsorolás Char,List Paragraph à moi Char,Welt L Char Char,Welt L Char1,Bullet List Char,FooterText Char,List Paragraph1 Char,numbered Char,Paragraphe de liste1 Char,Bulletr List Paragraph Char"/>
    <w:link w:val="Listaszerbekezds"/>
    <w:uiPriority w:val="34"/>
    <w:qFormat/>
    <w:rsid w:val="00A013F3"/>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irosag.hu/torvenyszekek"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1162</Words>
  <Characters>8022</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2021-11-15T11:47:00Z</dcterms:created>
  <dcterms:modified xsi:type="dcterms:W3CDTF">2023-07-12T11:41:00Z</dcterms:modified>
</cp:coreProperties>
</file>