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a)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180C07"/>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905DE453</Template>
  <TotalTime>0</TotalTime>
  <Pages>3</Pages>
  <Words>1238</Words>
  <Characters>8548</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horvath.eniko.sara</cp:lastModifiedBy>
  <cp:revision>2</cp:revision>
  <dcterms:created xsi:type="dcterms:W3CDTF">2023-01-19T10:54:00Z</dcterms:created>
  <dcterms:modified xsi:type="dcterms:W3CDTF">2023-01-19T10:54:00Z</dcterms:modified>
</cp:coreProperties>
</file>